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BF52" w14:textId="6CAE1B9E" w:rsidR="7EBE3297" w:rsidRDefault="7EBE3297" w:rsidP="7EBE3297">
      <w:pPr>
        <w:jc w:val="center"/>
      </w:pPr>
      <w:r>
        <w:rPr>
          <w:noProof/>
        </w:rPr>
        <w:drawing>
          <wp:inline distT="0" distB="0" distL="0" distR="0" wp14:anchorId="0EFF6796" wp14:editId="4105405B">
            <wp:extent cx="3028950" cy="819150"/>
            <wp:effectExtent l="0" t="0" r="0" b="0"/>
            <wp:docPr id="179245263" name="Picture 17924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69FE1C31" w14:textId="26B1D1BE" w:rsidR="005C74ED" w:rsidRPr="00B22FDE" w:rsidRDefault="7EBE3297" w:rsidP="7EBE3297">
      <w:pPr>
        <w:jc w:val="center"/>
        <w:rPr>
          <w:b/>
          <w:bCs/>
          <w:sz w:val="32"/>
          <w:szCs w:val="32"/>
        </w:rPr>
      </w:pPr>
      <w:r w:rsidRPr="7EBE3297">
        <w:rPr>
          <w:b/>
          <w:bCs/>
          <w:sz w:val="32"/>
          <w:szCs w:val="32"/>
        </w:rPr>
        <w:t xml:space="preserve"> Instrucciones para la fractura de muñeca/alta del brazo</w:t>
      </w:r>
    </w:p>
    <w:p w14:paraId="548C8114" w14:textId="77777777" w:rsidR="00B22FDE" w:rsidRPr="00B22FDE" w:rsidRDefault="00B22FDE" w:rsidP="00B22FDE">
      <w:pPr>
        <w:jc w:val="center"/>
        <w:rPr>
          <w:b/>
          <w:sz w:val="28"/>
          <w:szCs w:val="28"/>
        </w:rPr>
      </w:pPr>
    </w:p>
    <w:p w14:paraId="2D40D115" w14:textId="0C174615" w:rsidR="002912A8" w:rsidRPr="00B81328" w:rsidRDefault="7EBE3297" w:rsidP="7EBE3297">
      <w:pPr>
        <w:rPr>
          <w:b/>
          <w:bCs/>
          <w:sz w:val="28"/>
          <w:szCs w:val="28"/>
          <w:u w:val="single"/>
        </w:rPr>
      </w:pPr>
      <w:r w:rsidRPr="7EBE3297">
        <w:rPr>
          <w:b/>
          <w:bCs/>
          <w:sz w:val="28"/>
          <w:szCs w:val="28"/>
          <w:u w:val="single"/>
        </w:rPr>
        <w:t>Medicamentos</w:t>
      </w:r>
    </w:p>
    <w:p w14:paraId="3C9A6D75" w14:textId="32DF6457"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se le puede indicar que tome 325 mg de aspirina al día durante 30 días o que le administren un anticoagulante. La aspirina actúa como un anticoagulante que disminuye el riesgo de un coágulo de sangre en las venas profundas de las piernas llamado TVP, que a veces puede ocurrir después de la cirugía debido a la disminución de la actividad. </w:t>
      </w:r>
    </w:p>
    <w:p w14:paraId="5F09401C" w14:textId="5BCF1044"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Es posible que deba tomar un ablandador de heces dos veces al día mientras toma analgésicos. (ej: Colace 100 mg) Los analgésicos pueden ralentizar los intestinos y causar estreñimiento. </w:t>
      </w:r>
    </w:p>
    <w:p w14:paraId="282D1F84" w14:textId="2BC1C865"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No tome bebidas alcohólicas durante 24 horas. Beba mucho líquido. Reanude una dieta regular comiendo alimentos ligeros y avance según lo tolere. Beba de 6 a 8 vasos de líquidos al día. </w:t>
      </w:r>
    </w:p>
    <w:p w14:paraId="4DAC5AD7" w14:textId="5981D86B"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No conduzca ni opere maquinaria pesada durante 24 horas o mientras esté tomando analgésicos.</w:t>
      </w:r>
    </w:p>
    <w:p w14:paraId="604FF87C" w14:textId="1933243F"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Los efectos del bloqueo nervioso durarán entre 12 y 48 horas. Esto puede causar hormigueo/entumecimiento/debilidad o sensación de que el brazo está dormido. Los efectos de la anestesia general pueden durar hasta 48 horas. Es posible que tenga episodios de somnolencia, náuseas o mareos. Estos sentimientos son normales.</w:t>
      </w:r>
    </w:p>
    <w:p w14:paraId="75431961" w14:textId="77777777" w:rsidR="00FA5319" w:rsidRDefault="00FA5319" w:rsidP="7EBE3297">
      <w:pPr>
        <w:rPr>
          <w:rFonts w:ascii="Calibri" w:eastAsia="Calibri" w:hAnsi="Calibri" w:cs="Calibri"/>
          <w:color w:val="000000" w:themeColor="text1"/>
          <w:sz w:val="24"/>
          <w:szCs w:val="24"/>
        </w:rPr>
      </w:pPr>
    </w:p>
    <w:p w14:paraId="76FC9EEF" w14:textId="1348FE5C" w:rsidR="00B22FDE" w:rsidRPr="00B22FDE" w:rsidRDefault="7EBE3297" w:rsidP="7EBE3297">
      <w:pPr>
        <w:rPr>
          <w:b/>
          <w:bCs/>
          <w:sz w:val="28"/>
          <w:szCs w:val="28"/>
          <w:u w:val="single"/>
        </w:rPr>
      </w:pPr>
      <w:r w:rsidRPr="7EBE3297">
        <w:rPr>
          <w:b/>
          <w:bCs/>
          <w:sz w:val="28"/>
          <w:szCs w:val="28"/>
          <w:u w:val="single"/>
        </w:rPr>
        <w:t>Cuidado de heridas y apósitos</w:t>
      </w:r>
    </w:p>
    <w:p w14:paraId="6649A6FE" w14:textId="27FD346E" w:rsidR="00B22FDE" w:rsidRDefault="7EBE3297" w:rsidP="7EBE3297">
      <w:pPr>
        <w:rPr>
          <w:sz w:val="24"/>
          <w:szCs w:val="24"/>
        </w:rPr>
      </w:pPr>
      <w:r w:rsidRPr="7EBE3297">
        <w:rPr>
          <w:rFonts w:ascii="Calibri" w:eastAsia="Calibri" w:hAnsi="Calibri" w:cs="Calibri"/>
          <w:color w:val="000000" w:themeColor="text1"/>
          <w:sz w:val="24"/>
          <w:szCs w:val="24"/>
        </w:rPr>
        <w:t xml:space="preserve">El drenaje de la(s) incisión(es) en la primera semana es normal. Mantenga el apósito o la férula limpios, secos e intactos. </w:t>
      </w:r>
      <w:r w:rsidRPr="7EBE3297">
        <w:rPr>
          <w:sz w:val="24"/>
          <w:szCs w:val="24"/>
        </w:rPr>
        <w:t xml:space="preserve">NO se quite el vendaje/férula ni lo moje. Cubra con una bolsa de plástico y cinta adhesiva o presione y selle para ducharse. </w:t>
      </w:r>
    </w:p>
    <w:p w14:paraId="7627261A" w14:textId="77777777" w:rsidR="00FA5319" w:rsidRDefault="00FA5319" w:rsidP="7EBE3297">
      <w:pPr>
        <w:rPr>
          <w:sz w:val="24"/>
          <w:szCs w:val="24"/>
        </w:rPr>
      </w:pPr>
    </w:p>
    <w:p w14:paraId="4CBD850A" w14:textId="77777777" w:rsidR="00FA5319" w:rsidRDefault="00FA5319" w:rsidP="7EBE3297">
      <w:pPr>
        <w:rPr>
          <w:b/>
          <w:bCs/>
          <w:sz w:val="28"/>
          <w:szCs w:val="28"/>
          <w:u w:val="single"/>
        </w:rPr>
      </w:pPr>
    </w:p>
    <w:p w14:paraId="7AF0AE71" w14:textId="77777777" w:rsidR="00FA5319" w:rsidRDefault="00FA5319" w:rsidP="7EBE3297">
      <w:pPr>
        <w:rPr>
          <w:b/>
          <w:bCs/>
          <w:sz w:val="28"/>
          <w:szCs w:val="28"/>
          <w:u w:val="single"/>
        </w:rPr>
      </w:pPr>
    </w:p>
    <w:p w14:paraId="32983A5D" w14:textId="1DA5C12D" w:rsidR="00B22FDE" w:rsidRPr="00B22FDE" w:rsidRDefault="7EBE3297" w:rsidP="7EBE3297">
      <w:pPr>
        <w:rPr>
          <w:b/>
          <w:bCs/>
          <w:sz w:val="28"/>
          <w:szCs w:val="28"/>
          <w:u w:val="single"/>
        </w:rPr>
      </w:pPr>
      <w:r w:rsidRPr="7EBE3297">
        <w:rPr>
          <w:b/>
          <w:bCs/>
          <w:sz w:val="28"/>
          <w:szCs w:val="28"/>
          <w:u w:val="single"/>
        </w:rPr>
        <w:t>Actividad</w:t>
      </w:r>
    </w:p>
    <w:p w14:paraId="1503BE55" w14:textId="736A55D3" w:rsidR="00B22FDE" w:rsidRDefault="00B22FDE" w:rsidP="00B22FDE">
      <w:pPr>
        <w:rPr>
          <w:sz w:val="24"/>
          <w:szCs w:val="24"/>
        </w:rPr>
      </w:pPr>
      <w:r>
        <w:rPr>
          <w:sz w:val="24"/>
          <w:szCs w:val="24"/>
        </w:rPr>
        <w:t xml:space="preserve">Mantenga la mano elevada por encima del nivel del corazón durante las primeras 48 horas. Haga ejercicios de amplitud de movimiento varias veces al día con los dedos de la mano para ayudar con el dolor y la hinchazón. Se recomiendan compresas de hielo durante las primeras 48 horas y según sea necesario después de eso. Asegúrese de colocar las compresas de hielo en la férula o el apósito. No retire la férula y extienda hielo. La hinchazón es normal después de la cirugía, por lo que se recomienda la elevación, el ROM de la mano y el hielo. </w:t>
      </w:r>
    </w:p>
    <w:p w14:paraId="4BA96D5D" w14:textId="2B23713C" w:rsidR="00B22FDE" w:rsidRDefault="7EBE3297" w:rsidP="00B22FDE">
      <w:pPr>
        <w:rPr>
          <w:sz w:val="24"/>
          <w:szCs w:val="24"/>
        </w:rPr>
      </w:pPr>
      <w:r w:rsidRPr="7EBE3297">
        <w:rPr>
          <w:sz w:val="24"/>
          <w:szCs w:val="24"/>
        </w:rPr>
        <w:t xml:space="preserve">Asegúrese de caminar con ayuda los primeros días después de la cirugía, especialmente después de tomar analgésicos. Caminar distancias cortas acelerará su recuperación. Haga aleteos frecuentes con los pies y ejercicios de movimiento del tobillo 30 veces cada hora mientras esté despierto durante los primeros 2 días para la circulación en las extremidades inferiores. </w:t>
      </w:r>
    </w:p>
    <w:p w14:paraId="7F745E33" w14:textId="2049A268" w:rsidR="00B22FDE" w:rsidRDefault="00B22FDE" w:rsidP="7EBE3297">
      <w:pPr>
        <w:rPr>
          <w:rFonts w:ascii="Calibri" w:eastAsia="Calibri" w:hAnsi="Calibri" w:cs="Calibri"/>
          <w:b/>
          <w:bCs/>
          <w:color w:val="000000" w:themeColor="text1"/>
          <w:sz w:val="28"/>
          <w:szCs w:val="28"/>
          <w:u w:val="single"/>
        </w:rPr>
      </w:pPr>
    </w:p>
    <w:p w14:paraId="6D32C6A8" w14:textId="16D5AC32"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Cita de seguimiento</w:t>
      </w:r>
    </w:p>
    <w:p w14:paraId="75B114A7" w14:textId="176B1F76"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Tendrá una cita de seguimiento de 10 a 14 días después de la cirugía. En la mayoría de los casos, esta cita se programó cuando se programó la cirugía. Llame al 806-350-2663 para confirmar los detalles de la cita si es necesario. </w:t>
      </w:r>
    </w:p>
    <w:p w14:paraId="4C595202" w14:textId="77777777" w:rsidR="00FA5319" w:rsidRDefault="00FA5319" w:rsidP="7EBE3297">
      <w:pPr>
        <w:rPr>
          <w:rFonts w:ascii="Calibri" w:eastAsia="Calibri" w:hAnsi="Calibri" w:cs="Calibri"/>
          <w:color w:val="000000" w:themeColor="text1"/>
          <w:sz w:val="24"/>
          <w:szCs w:val="24"/>
        </w:rPr>
      </w:pPr>
    </w:p>
    <w:p w14:paraId="2984BF1C" w14:textId="6A4CA8D6"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Regreso al trabajo/escuela</w:t>
      </w:r>
    </w:p>
    <w:p w14:paraId="2BBB3BDA" w14:textId="1531AA2A"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22480518" w14:textId="57AA43BC"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051A371A" w14:textId="77777777" w:rsidR="00FA5319" w:rsidRDefault="00FA5319" w:rsidP="7EBE3297">
      <w:pPr>
        <w:rPr>
          <w:rFonts w:ascii="Calibri" w:eastAsia="Calibri" w:hAnsi="Calibri" w:cs="Calibri"/>
          <w:color w:val="000000" w:themeColor="text1"/>
          <w:sz w:val="24"/>
          <w:szCs w:val="24"/>
        </w:rPr>
      </w:pPr>
    </w:p>
    <w:p w14:paraId="52B35CBA" w14:textId="7F0E8B2F"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Llame a nuestra oficina o vaya a la sala de emergencias si...</w:t>
      </w:r>
    </w:p>
    <w:p w14:paraId="34EEA0D5" w14:textId="48DCA3D0"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Tiene fiebre de 101 o más, sudores nocturnos o escalofríos.</w:t>
      </w:r>
    </w:p>
    <w:p w14:paraId="3BF5E4AC" w14:textId="0E3056B2"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Nota rayas rojas que irradian hacia afuera de su(s) incisión(es).</w:t>
      </w:r>
    </w:p>
    <w:p w14:paraId="25F94487" w14:textId="6E6B98F4"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lastRenderedPageBreak/>
        <w:t>Su(s) incisión(es) empeora(n) enrojecimiento, hinchazón, supuración de pus o dolor intenso.</w:t>
      </w:r>
    </w:p>
    <w:p w14:paraId="098B688D" w14:textId="25C9F98F"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Experimenta dificultad para respirar o dolor intenso en la pantorrilla (signos de un coágulo de sangre)</w:t>
      </w:r>
    </w:p>
    <w:p w14:paraId="0477DF87" w14:textId="5931F5C3"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Si tiene alguna pregunta, no dude en llamar a nuestra oficina.</w:t>
      </w:r>
    </w:p>
    <w:sectPr w:rsidR="0029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3626"/>
    <w:multiLevelType w:val="hybridMultilevel"/>
    <w:tmpl w:val="B8DA00C2"/>
    <w:lvl w:ilvl="0" w:tplc="576664F8">
      <w:start w:val="1"/>
      <w:numFmt w:val="bullet"/>
      <w:lvlText w:val=""/>
      <w:lvlJc w:val="left"/>
      <w:pPr>
        <w:ind w:left="720" w:hanging="360"/>
      </w:pPr>
      <w:rPr>
        <w:rFonts w:ascii="Symbol" w:hAnsi="Symbol" w:hint="default"/>
      </w:rPr>
    </w:lvl>
    <w:lvl w:ilvl="1" w:tplc="118A3C6E">
      <w:start w:val="1"/>
      <w:numFmt w:val="bullet"/>
      <w:lvlText w:val="o"/>
      <w:lvlJc w:val="left"/>
      <w:pPr>
        <w:ind w:left="1440" w:hanging="360"/>
      </w:pPr>
      <w:rPr>
        <w:rFonts w:ascii="Courier New" w:hAnsi="Courier New" w:hint="default"/>
      </w:rPr>
    </w:lvl>
    <w:lvl w:ilvl="2" w:tplc="B3B0FD30">
      <w:start w:val="1"/>
      <w:numFmt w:val="bullet"/>
      <w:lvlText w:val=""/>
      <w:lvlJc w:val="left"/>
      <w:pPr>
        <w:ind w:left="2160" w:hanging="360"/>
      </w:pPr>
      <w:rPr>
        <w:rFonts w:ascii="Wingdings" w:hAnsi="Wingdings" w:hint="default"/>
      </w:rPr>
    </w:lvl>
    <w:lvl w:ilvl="3" w:tplc="ADFAEA88">
      <w:start w:val="1"/>
      <w:numFmt w:val="bullet"/>
      <w:lvlText w:val=""/>
      <w:lvlJc w:val="left"/>
      <w:pPr>
        <w:ind w:left="2880" w:hanging="360"/>
      </w:pPr>
      <w:rPr>
        <w:rFonts w:ascii="Symbol" w:hAnsi="Symbol" w:hint="default"/>
      </w:rPr>
    </w:lvl>
    <w:lvl w:ilvl="4" w:tplc="F53EEF70">
      <w:start w:val="1"/>
      <w:numFmt w:val="bullet"/>
      <w:lvlText w:val="o"/>
      <w:lvlJc w:val="left"/>
      <w:pPr>
        <w:ind w:left="3600" w:hanging="360"/>
      </w:pPr>
      <w:rPr>
        <w:rFonts w:ascii="Courier New" w:hAnsi="Courier New" w:hint="default"/>
      </w:rPr>
    </w:lvl>
    <w:lvl w:ilvl="5" w:tplc="3BB282E6">
      <w:start w:val="1"/>
      <w:numFmt w:val="bullet"/>
      <w:lvlText w:val=""/>
      <w:lvlJc w:val="left"/>
      <w:pPr>
        <w:ind w:left="4320" w:hanging="360"/>
      </w:pPr>
      <w:rPr>
        <w:rFonts w:ascii="Wingdings" w:hAnsi="Wingdings" w:hint="default"/>
      </w:rPr>
    </w:lvl>
    <w:lvl w:ilvl="6" w:tplc="543CD57C">
      <w:start w:val="1"/>
      <w:numFmt w:val="bullet"/>
      <w:lvlText w:val=""/>
      <w:lvlJc w:val="left"/>
      <w:pPr>
        <w:ind w:left="5040" w:hanging="360"/>
      </w:pPr>
      <w:rPr>
        <w:rFonts w:ascii="Symbol" w:hAnsi="Symbol" w:hint="default"/>
      </w:rPr>
    </w:lvl>
    <w:lvl w:ilvl="7" w:tplc="ADBEDCC2">
      <w:start w:val="1"/>
      <w:numFmt w:val="bullet"/>
      <w:lvlText w:val="o"/>
      <w:lvlJc w:val="left"/>
      <w:pPr>
        <w:ind w:left="5760" w:hanging="360"/>
      </w:pPr>
      <w:rPr>
        <w:rFonts w:ascii="Courier New" w:hAnsi="Courier New" w:hint="default"/>
      </w:rPr>
    </w:lvl>
    <w:lvl w:ilvl="8" w:tplc="9648DAE6">
      <w:start w:val="1"/>
      <w:numFmt w:val="bullet"/>
      <w:lvlText w:val=""/>
      <w:lvlJc w:val="left"/>
      <w:pPr>
        <w:ind w:left="6480" w:hanging="360"/>
      </w:pPr>
      <w:rPr>
        <w:rFonts w:ascii="Wingdings" w:hAnsi="Wingdings" w:hint="default"/>
      </w:rPr>
    </w:lvl>
  </w:abstractNum>
  <w:abstractNum w:abstractNumId="1" w15:restartNumberingAfterBreak="0">
    <w:nsid w:val="111C444A"/>
    <w:multiLevelType w:val="hybridMultilevel"/>
    <w:tmpl w:val="D43469E6"/>
    <w:lvl w:ilvl="0" w:tplc="32FC3FAE">
      <w:start w:val="1"/>
      <w:numFmt w:val="bullet"/>
      <w:lvlText w:val=""/>
      <w:lvlJc w:val="left"/>
      <w:pPr>
        <w:ind w:left="720" w:hanging="360"/>
      </w:pPr>
      <w:rPr>
        <w:rFonts w:ascii="Symbol" w:hAnsi="Symbol" w:hint="default"/>
      </w:rPr>
    </w:lvl>
    <w:lvl w:ilvl="1" w:tplc="4F9A28FC">
      <w:start w:val="1"/>
      <w:numFmt w:val="bullet"/>
      <w:lvlText w:val="o"/>
      <w:lvlJc w:val="left"/>
      <w:pPr>
        <w:ind w:left="1440" w:hanging="360"/>
      </w:pPr>
      <w:rPr>
        <w:rFonts w:ascii="Courier New" w:hAnsi="Courier New" w:hint="default"/>
      </w:rPr>
    </w:lvl>
    <w:lvl w:ilvl="2" w:tplc="D278D59A">
      <w:start w:val="1"/>
      <w:numFmt w:val="bullet"/>
      <w:lvlText w:val=""/>
      <w:lvlJc w:val="left"/>
      <w:pPr>
        <w:ind w:left="2160" w:hanging="360"/>
      </w:pPr>
      <w:rPr>
        <w:rFonts w:ascii="Wingdings" w:hAnsi="Wingdings" w:hint="default"/>
      </w:rPr>
    </w:lvl>
    <w:lvl w:ilvl="3" w:tplc="2B108F9A">
      <w:start w:val="1"/>
      <w:numFmt w:val="bullet"/>
      <w:lvlText w:val=""/>
      <w:lvlJc w:val="left"/>
      <w:pPr>
        <w:ind w:left="2880" w:hanging="360"/>
      </w:pPr>
      <w:rPr>
        <w:rFonts w:ascii="Symbol" w:hAnsi="Symbol" w:hint="default"/>
      </w:rPr>
    </w:lvl>
    <w:lvl w:ilvl="4" w:tplc="7A522D94">
      <w:start w:val="1"/>
      <w:numFmt w:val="bullet"/>
      <w:lvlText w:val="o"/>
      <w:lvlJc w:val="left"/>
      <w:pPr>
        <w:ind w:left="3600" w:hanging="360"/>
      </w:pPr>
      <w:rPr>
        <w:rFonts w:ascii="Courier New" w:hAnsi="Courier New" w:hint="default"/>
      </w:rPr>
    </w:lvl>
    <w:lvl w:ilvl="5" w:tplc="054A2D88">
      <w:start w:val="1"/>
      <w:numFmt w:val="bullet"/>
      <w:lvlText w:val=""/>
      <w:lvlJc w:val="left"/>
      <w:pPr>
        <w:ind w:left="4320" w:hanging="360"/>
      </w:pPr>
      <w:rPr>
        <w:rFonts w:ascii="Wingdings" w:hAnsi="Wingdings" w:hint="default"/>
      </w:rPr>
    </w:lvl>
    <w:lvl w:ilvl="6" w:tplc="101425BC">
      <w:start w:val="1"/>
      <w:numFmt w:val="bullet"/>
      <w:lvlText w:val=""/>
      <w:lvlJc w:val="left"/>
      <w:pPr>
        <w:ind w:left="5040" w:hanging="360"/>
      </w:pPr>
      <w:rPr>
        <w:rFonts w:ascii="Symbol" w:hAnsi="Symbol" w:hint="default"/>
      </w:rPr>
    </w:lvl>
    <w:lvl w:ilvl="7" w:tplc="27FA0116">
      <w:start w:val="1"/>
      <w:numFmt w:val="bullet"/>
      <w:lvlText w:val="o"/>
      <w:lvlJc w:val="left"/>
      <w:pPr>
        <w:ind w:left="5760" w:hanging="360"/>
      </w:pPr>
      <w:rPr>
        <w:rFonts w:ascii="Courier New" w:hAnsi="Courier New" w:hint="default"/>
      </w:rPr>
    </w:lvl>
    <w:lvl w:ilvl="8" w:tplc="1D5A5430">
      <w:start w:val="1"/>
      <w:numFmt w:val="bullet"/>
      <w:lvlText w:val=""/>
      <w:lvlJc w:val="left"/>
      <w:pPr>
        <w:ind w:left="6480" w:hanging="360"/>
      </w:pPr>
      <w:rPr>
        <w:rFonts w:ascii="Wingdings" w:hAnsi="Wingdings" w:hint="default"/>
      </w:rPr>
    </w:lvl>
  </w:abstractNum>
  <w:abstractNum w:abstractNumId="2" w15:restartNumberingAfterBreak="0">
    <w:nsid w:val="154E9D3C"/>
    <w:multiLevelType w:val="hybridMultilevel"/>
    <w:tmpl w:val="9CCA7C4E"/>
    <w:lvl w:ilvl="0" w:tplc="581C9F24">
      <w:start w:val="1"/>
      <w:numFmt w:val="bullet"/>
      <w:lvlText w:val=""/>
      <w:lvlJc w:val="left"/>
      <w:pPr>
        <w:ind w:left="720" w:hanging="360"/>
      </w:pPr>
      <w:rPr>
        <w:rFonts w:ascii="Symbol" w:hAnsi="Symbol" w:hint="default"/>
      </w:rPr>
    </w:lvl>
    <w:lvl w:ilvl="1" w:tplc="9F0AE78A">
      <w:start w:val="1"/>
      <w:numFmt w:val="bullet"/>
      <w:lvlText w:val="o"/>
      <w:lvlJc w:val="left"/>
      <w:pPr>
        <w:ind w:left="1440" w:hanging="360"/>
      </w:pPr>
      <w:rPr>
        <w:rFonts w:ascii="Courier New" w:hAnsi="Courier New" w:hint="default"/>
      </w:rPr>
    </w:lvl>
    <w:lvl w:ilvl="2" w:tplc="3B2EB18C">
      <w:start w:val="1"/>
      <w:numFmt w:val="bullet"/>
      <w:lvlText w:val=""/>
      <w:lvlJc w:val="left"/>
      <w:pPr>
        <w:ind w:left="2160" w:hanging="360"/>
      </w:pPr>
      <w:rPr>
        <w:rFonts w:ascii="Wingdings" w:hAnsi="Wingdings" w:hint="default"/>
      </w:rPr>
    </w:lvl>
    <w:lvl w:ilvl="3" w:tplc="C262CBFA">
      <w:start w:val="1"/>
      <w:numFmt w:val="bullet"/>
      <w:lvlText w:val=""/>
      <w:lvlJc w:val="left"/>
      <w:pPr>
        <w:ind w:left="2880" w:hanging="360"/>
      </w:pPr>
      <w:rPr>
        <w:rFonts w:ascii="Symbol" w:hAnsi="Symbol" w:hint="default"/>
      </w:rPr>
    </w:lvl>
    <w:lvl w:ilvl="4" w:tplc="CE82ED0C">
      <w:start w:val="1"/>
      <w:numFmt w:val="bullet"/>
      <w:lvlText w:val="o"/>
      <w:lvlJc w:val="left"/>
      <w:pPr>
        <w:ind w:left="3600" w:hanging="360"/>
      </w:pPr>
      <w:rPr>
        <w:rFonts w:ascii="Courier New" w:hAnsi="Courier New" w:hint="default"/>
      </w:rPr>
    </w:lvl>
    <w:lvl w:ilvl="5" w:tplc="70FA81C0">
      <w:start w:val="1"/>
      <w:numFmt w:val="bullet"/>
      <w:lvlText w:val=""/>
      <w:lvlJc w:val="left"/>
      <w:pPr>
        <w:ind w:left="4320" w:hanging="360"/>
      </w:pPr>
      <w:rPr>
        <w:rFonts w:ascii="Wingdings" w:hAnsi="Wingdings" w:hint="default"/>
      </w:rPr>
    </w:lvl>
    <w:lvl w:ilvl="6" w:tplc="1F0447AE">
      <w:start w:val="1"/>
      <w:numFmt w:val="bullet"/>
      <w:lvlText w:val=""/>
      <w:lvlJc w:val="left"/>
      <w:pPr>
        <w:ind w:left="5040" w:hanging="360"/>
      </w:pPr>
      <w:rPr>
        <w:rFonts w:ascii="Symbol" w:hAnsi="Symbol" w:hint="default"/>
      </w:rPr>
    </w:lvl>
    <w:lvl w:ilvl="7" w:tplc="57BA0362">
      <w:start w:val="1"/>
      <w:numFmt w:val="bullet"/>
      <w:lvlText w:val="o"/>
      <w:lvlJc w:val="left"/>
      <w:pPr>
        <w:ind w:left="5760" w:hanging="360"/>
      </w:pPr>
      <w:rPr>
        <w:rFonts w:ascii="Courier New" w:hAnsi="Courier New" w:hint="default"/>
      </w:rPr>
    </w:lvl>
    <w:lvl w:ilvl="8" w:tplc="241A8504">
      <w:start w:val="1"/>
      <w:numFmt w:val="bullet"/>
      <w:lvlText w:val=""/>
      <w:lvlJc w:val="left"/>
      <w:pPr>
        <w:ind w:left="6480" w:hanging="360"/>
      </w:pPr>
      <w:rPr>
        <w:rFonts w:ascii="Wingdings" w:hAnsi="Wingdings" w:hint="default"/>
      </w:rPr>
    </w:lvl>
  </w:abstractNum>
  <w:abstractNum w:abstractNumId="3" w15:restartNumberingAfterBreak="0">
    <w:nsid w:val="35F2EEF4"/>
    <w:multiLevelType w:val="hybridMultilevel"/>
    <w:tmpl w:val="87B6D964"/>
    <w:lvl w:ilvl="0" w:tplc="8000F028">
      <w:start w:val="1"/>
      <w:numFmt w:val="bullet"/>
      <w:lvlText w:val=""/>
      <w:lvlJc w:val="left"/>
      <w:pPr>
        <w:ind w:left="720" w:hanging="360"/>
      </w:pPr>
      <w:rPr>
        <w:rFonts w:ascii="Symbol" w:hAnsi="Symbol" w:hint="default"/>
      </w:rPr>
    </w:lvl>
    <w:lvl w:ilvl="1" w:tplc="B2FC151E">
      <w:start w:val="1"/>
      <w:numFmt w:val="bullet"/>
      <w:lvlText w:val="o"/>
      <w:lvlJc w:val="left"/>
      <w:pPr>
        <w:ind w:left="1440" w:hanging="360"/>
      </w:pPr>
      <w:rPr>
        <w:rFonts w:ascii="Courier New" w:hAnsi="Courier New" w:hint="default"/>
      </w:rPr>
    </w:lvl>
    <w:lvl w:ilvl="2" w:tplc="63B808B0">
      <w:start w:val="1"/>
      <w:numFmt w:val="bullet"/>
      <w:lvlText w:val=""/>
      <w:lvlJc w:val="left"/>
      <w:pPr>
        <w:ind w:left="2160" w:hanging="360"/>
      </w:pPr>
      <w:rPr>
        <w:rFonts w:ascii="Wingdings" w:hAnsi="Wingdings" w:hint="default"/>
      </w:rPr>
    </w:lvl>
    <w:lvl w:ilvl="3" w:tplc="B7DAC18C">
      <w:start w:val="1"/>
      <w:numFmt w:val="bullet"/>
      <w:lvlText w:val=""/>
      <w:lvlJc w:val="left"/>
      <w:pPr>
        <w:ind w:left="2880" w:hanging="360"/>
      </w:pPr>
      <w:rPr>
        <w:rFonts w:ascii="Symbol" w:hAnsi="Symbol" w:hint="default"/>
      </w:rPr>
    </w:lvl>
    <w:lvl w:ilvl="4" w:tplc="B5200738">
      <w:start w:val="1"/>
      <w:numFmt w:val="bullet"/>
      <w:lvlText w:val="o"/>
      <w:lvlJc w:val="left"/>
      <w:pPr>
        <w:ind w:left="3600" w:hanging="360"/>
      </w:pPr>
      <w:rPr>
        <w:rFonts w:ascii="Courier New" w:hAnsi="Courier New" w:hint="default"/>
      </w:rPr>
    </w:lvl>
    <w:lvl w:ilvl="5" w:tplc="465A3978">
      <w:start w:val="1"/>
      <w:numFmt w:val="bullet"/>
      <w:lvlText w:val=""/>
      <w:lvlJc w:val="left"/>
      <w:pPr>
        <w:ind w:left="4320" w:hanging="360"/>
      </w:pPr>
      <w:rPr>
        <w:rFonts w:ascii="Wingdings" w:hAnsi="Wingdings" w:hint="default"/>
      </w:rPr>
    </w:lvl>
    <w:lvl w:ilvl="6" w:tplc="3684F246">
      <w:start w:val="1"/>
      <w:numFmt w:val="bullet"/>
      <w:lvlText w:val=""/>
      <w:lvlJc w:val="left"/>
      <w:pPr>
        <w:ind w:left="5040" w:hanging="360"/>
      </w:pPr>
      <w:rPr>
        <w:rFonts w:ascii="Symbol" w:hAnsi="Symbol" w:hint="default"/>
      </w:rPr>
    </w:lvl>
    <w:lvl w:ilvl="7" w:tplc="27F064F2">
      <w:start w:val="1"/>
      <w:numFmt w:val="bullet"/>
      <w:lvlText w:val="o"/>
      <w:lvlJc w:val="left"/>
      <w:pPr>
        <w:ind w:left="5760" w:hanging="360"/>
      </w:pPr>
      <w:rPr>
        <w:rFonts w:ascii="Courier New" w:hAnsi="Courier New" w:hint="default"/>
      </w:rPr>
    </w:lvl>
    <w:lvl w:ilvl="8" w:tplc="1870CFD0">
      <w:start w:val="1"/>
      <w:numFmt w:val="bullet"/>
      <w:lvlText w:val=""/>
      <w:lvlJc w:val="left"/>
      <w:pPr>
        <w:ind w:left="6480" w:hanging="360"/>
      </w:pPr>
      <w:rPr>
        <w:rFonts w:ascii="Wingdings" w:hAnsi="Wingdings" w:hint="default"/>
      </w:rPr>
    </w:lvl>
  </w:abstractNum>
  <w:abstractNum w:abstractNumId="4" w15:restartNumberingAfterBreak="0">
    <w:nsid w:val="4EC3EC31"/>
    <w:multiLevelType w:val="hybridMultilevel"/>
    <w:tmpl w:val="B28C3226"/>
    <w:lvl w:ilvl="0" w:tplc="4314B48E">
      <w:start w:val="1"/>
      <w:numFmt w:val="bullet"/>
      <w:lvlText w:val=""/>
      <w:lvlJc w:val="left"/>
      <w:pPr>
        <w:ind w:left="720" w:hanging="360"/>
      </w:pPr>
      <w:rPr>
        <w:rFonts w:ascii="Symbol" w:hAnsi="Symbol" w:hint="default"/>
      </w:rPr>
    </w:lvl>
    <w:lvl w:ilvl="1" w:tplc="582643DE">
      <w:start w:val="1"/>
      <w:numFmt w:val="bullet"/>
      <w:lvlText w:val="o"/>
      <w:lvlJc w:val="left"/>
      <w:pPr>
        <w:ind w:left="1440" w:hanging="360"/>
      </w:pPr>
      <w:rPr>
        <w:rFonts w:ascii="Courier New" w:hAnsi="Courier New" w:hint="default"/>
      </w:rPr>
    </w:lvl>
    <w:lvl w:ilvl="2" w:tplc="25EC16CE">
      <w:start w:val="1"/>
      <w:numFmt w:val="bullet"/>
      <w:lvlText w:val=""/>
      <w:lvlJc w:val="left"/>
      <w:pPr>
        <w:ind w:left="2160" w:hanging="360"/>
      </w:pPr>
      <w:rPr>
        <w:rFonts w:ascii="Wingdings" w:hAnsi="Wingdings" w:hint="default"/>
      </w:rPr>
    </w:lvl>
    <w:lvl w:ilvl="3" w:tplc="662C41D2">
      <w:start w:val="1"/>
      <w:numFmt w:val="bullet"/>
      <w:lvlText w:val=""/>
      <w:lvlJc w:val="left"/>
      <w:pPr>
        <w:ind w:left="2880" w:hanging="360"/>
      </w:pPr>
      <w:rPr>
        <w:rFonts w:ascii="Symbol" w:hAnsi="Symbol" w:hint="default"/>
      </w:rPr>
    </w:lvl>
    <w:lvl w:ilvl="4" w:tplc="9D7C1F56">
      <w:start w:val="1"/>
      <w:numFmt w:val="bullet"/>
      <w:lvlText w:val="o"/>
      <w:lvlJc w:val="left"/>
      <w:pPr>
        <w:ind w:left="3600" w:hanging="360"/>
      </w:pPr>
      <w:rPr>
        <w:rFonts w:ascii="Courier New" w:hAnsi="Courier New" w:hint="default"/>
      </w:rPr>
    </w:lvl>
    <w:lvl w:ilvl="5" w:tplc="7C007F3A">
      <w:start w:val="1"/>
      <w:numFmt w:val="bullet"/>
      <w:lvlText w:val=""/>
      <w:lvlJc w:val="left"/>
      <w:pPr>
        <w:ind w:left="4320" w:hanging="360"/>
      </w:pPr>
      <w:rPr>
        <w:rFonts w:ascii="Wingdings" w:hAnsi="Wingdings" w:hint="default"/>
      </w:rPr>
    </w:lvl>
    <w:lvl w:ilvl="6" w:tplc="30E42B6A">
      <w:start w:val="1"/>
      <w:numFmt w:val="bullet"/>
      <w:lvlText w:val=""/>
      <w:lvlJc w:val="left"/>
      <w:pPr>
        <w:ind w:left="5040" w:hanging="360"/>
      </w:pPr>
      <w:rPr>
        <w:rFonts w:ascii="Symbol" w:hAnsi="Symbol" w:hint="default"/>
      </w:rPr>
    </w:lvl>
    <w:lvl w:ilvl="7" w:tplc="CE3423D8">
      <w:start w:val="1"/>
      <w:numFmt w:val="bullet"/>
      <w:lvlText w:val="o"/>
      <w:lvlJc w:val="left"/>
      <w:pPr>
        <w:ind w:left="5760" w:hanging="360"/>
      </w:pPr>
      <w:rPr>
        <w:rFonts w:ascii="Courier New" w:hAnsi="Courier New" w:hint="default"/>
      </w:rPr>
    </w:lvl>
    <w:lvl w:ilvl="8" w:tplc="895E4962">
      <w:start w:val="1"/>
      <w:numFmt w:val="bullet"/>
      <w:lvlText w:val=""/>
      <w:lvlJc w:val="left"/>
      <w:pPr>
        <w:ind w:left="6480" w:hanging="360"/>
      </w:pPr>
      <w:rPr>
        <w:rFonts w:ascii="Wingdings" w:hAnsi="Wingdings" w:hint="default"/>
      </w:rPr>
    </w:lvl>
  </w:abstractNum>
  <w:num w:numId="1" w16cid:durableId="648024250">
    <w:abstractNumId w:val="1"/>
  </w:num>
  <w:num w:numId="2" w16cid:durableId="1533149955">
    <w:abstractNumId w:val="2"/>
  </w:num>
  <w:num w:numId="3" w16cid:durableId="59836739">
    <w:abstractNumId w:val="3"/>
  </w:num>
  <w:num w:numId="4" w16cid:durableId="1347445750">
    <w:abstractNumId w:val="4"/>
  </w:num>
  <w:num w:numId="5" w16cid:durableId="63749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A8"/>
    <w:rsid w:val="00065A06"/>
    <w:rsid w:val="001637F3"/>
    <w:rsid w:val="00213C68"/>
    <w:rsid w:val="002912A8"/>
    <w:rsid w:val="002B2DA9"/>
    <w:rsid w:val="002B7F41"/>
    <w:rsid w:val="00570330"/>
    <w:rsid w:val="005C74ED"/>
    <w:rsid w:val="0064245B"/>
    <w:rsid w:val="00713677"/>
    <w:rsid w:val="00742803"/>
    <w:rsid w:val="008E3E21"/>
    <w:rsid w:val="00A2782D"/>
    <w:rsid w:val="00AA1781"/>
    <w:rsid w:val="00B22FDE"/>
    <w:rsid w:val="00C54C38"/>
    <w:rsid w:val="00E56258"/>
    <w:rsid w:val="00F02F2D"/>
    <w:rsid w:val="00FA5319"/>
    <w:rsid w:val="7EB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BDD"/>
  <w15:chartTrackingRefBased/>
  <w15:docId w15:val="{C79FB19F-EDA8-4DE2-9075-77F6C8C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D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570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cp:revision>
  <cp:lastPrinted>2023-10-10T20:48:00Z</cp:lastPrinted>
  <dcterms:created xsi:type="dcterms:W3CDTF">2023-09-21T15:28:00Z</dcterms:created>
  <dcterms:modified xsi:type="dcterms:W3CDTF">2023-10-11T20:38:00Z</dcterms:modified>
</cp:coreProperties>
</file>